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JOINT CONTROLLERSHIP AGREEMENT AMONG THE NODES OF THE DISTRIBUTED ICTS REDIB FOR THE PROCESSING OF PERSONAL DATA OF USERS</w:t>
      </w:r>
    </w:p>
    <w:p/>
    <w:p>
      <w:r>
        <w:rPr>
          <w:b/>
          <w:sz w:val="25"/>
        </w:rPr>
        <w:t>APPEAR</w:t>
      </w:r>
    </w:p>
    <w:p>
      <w:r>
        <w:t>On behalf of BIOIMAGEN COMPLUTENSE (hereinafter BIOIMAC), Ms. Lucía de Juan Ferré, Vice-Rector for Research and Transfer, in representation of the Universidad Complutense de Madrid (hereinafter UCM), with Tax ID Q2818014I, appointed by Rectoral Decree 31/2023 of June 28. Pursuant to Article 66.2 of Decree 32/2017 of March 21 of the Governing Council of the Community of Madrid, approving the Statutes of the Universidad Complutense de Madrid (BOCM No. 71, March 24), and the powers delegated to her by Rectoral Decree 28/2023 of June 28 establishing the Vice-Rectorates of the Universidad Complutense de Madrid, delegating competences and various organizational matters (BOCM No. 162, July 10, 2023).</w:t>
      </w:r>
    </w:p>
    <w:p>
      <w:r>
        <w:t>On behalf of the ASOCIACIÓN CENTRO DE INVESTIGACIÓN COOPERATIVA EN BIOMATERIALES · CIC biomaGUNE (hereinafter CIC biomaGUNE), Prof. Ms. Aitziber López Cortajarena, acting in her capacity as Scientific Director and Legal Attorney-in-Fact, by virtue of the power granted and raised to public deed before the Notary of Mondragón, Mr. Iñigo Irache Varona, on December 10, 2021, protocol number 1633; entity domiciled at Paseo de Miramón 182, 20014, San Sebastián (Guipúzcoa), with tax identification code G-20788840.</w:t>
      </w:r>
    </w:p>
    <w:p>
      <w:r>
        <w:t>On behalf of the CENTRO NACIONAL DE INVESTIGACIONES CARDIOVASCULARES CARLOS III (F.S.P), Mr. Alberto Sanz Belmar, as Managing Director and in the name and on behalf thereof, by virtue of the powers conferred and granted before the Notary of Madrid, Mr. Joaquín Corell Corell, on December 14, 2012, protocol number 4,193.</w:t>
      </w:r>
    </w:p>
    <w:p>
      <w:r>
        <w:t>On behalf of the INSTITUTO DE INVESTIGACIÓN SANITARIA – FUNDACIÓN PARA LA INVESTIGACIÓN DEL HOSPITAL UNIVERSITARIO LA FE DE LA COMUNIDAD VALENCIANA (hereinafter “IIS La Fe”), with registered office in Valencia (46026), Avenida Fernando Abril Martorell, 106, Hospital U. y P. La Fe, Torre A, 7th Floor, and Tax ID G-97067557, registered in the Registry of Foundations of the Community of Valencia under number 369‑V, represented by Ms. Ainhoa Genovés Martínez, with ID 44864136‑Z, in her capacity as General Director pursuant to the public deed elevating corporate resolutions before the Notary of the Illustrious College of Valencia, Mr. Luis Calabuig de Leyva, dated November 17, 2022, protocol number 4,662.</w:t>
      </w:r>
    </w:p>
    <w:p>
      <w:r>
        <w:t>All parties mutually recognize sufficient legal capacity to sign this agreement and, by virtue thereof,</w:t>
      </w:r>
    </w:p>
    <w:p/>
    <w:p>
      <w:r>
        <w:rPr>
          <w:b/>
          <w:sz w:val="25"/>
        </w:rPr>
        <w:t>DECLARE</w:t>
      </w:r>
    </w:p>
    <w:p>
      <w:r>
        <w:rPr>
          <w:b/>
          <w:sz w:val="23"/>
        </w:rPr>
        <w:t xml:space="preserve">ONE. </w:t>
      </w:r>
      <w:r>
        <w:t>BIOIMAC is a Research Assistance Center of the Universidad Complutense de Madrid, a public institution that provides a higher education service through teaching, study and research, whose missions include the creation, development, transmission and critique of science, technology and culture, with a clear vocation to serve research.</w:t>
      </w:r>
    </w:p>
    <w:p>
      <w:r>
        <w:rPr>
          <w:b/>
          <w:sz w:val="23"/>
        </w:rPr>
        <w:t xml:space="preserve">TWO. </w:t>
      </w:r>
      <w:r>
        <w:t>The CENTRO NACIONAL DE INVESTIGACIONES CARDIOVASCULARES CARLOS III (F.S.P) is a foundation within the State Public Sector, with its own legal personality and full capacity to act, focused on promoting and developing cardiovascular research, implementing and developing teaching activity programs; carrying out any activities in research on these diseases that may help improve the quality of life of the general population and, in particular, of those affected.</w:t>
      </w:r>
    </w:p>
    <w:p>
      <w:r>
        <w:rPr>
          <w:b/>
          <w:sz w:val="23"/>
        </w:rPr>
        <w:t xml:space="preserve">THREE. </w:t>
      </w:r>
      <w:r>
        <w:t>CIC biomaGUNE is an entity belonging to the Basque Network of Science, Technology and Innovation (RVCTI), the basic aim of which is the conception, production, promotion, dissemination, application and exploitation of scientific and technological knowledge in the field of biomaterials through systematic research and experimental development activities, as well as training, transfer and dissemination of results to social and business stakeholders on a multidisciplinary basis.</w:t>
      </w:r>
    </w:p>
    <w:p>
      <w:r>
        <w:rPr>
          <w:b/>
          <w:sz w:val="23"/>
        </w:rPr>
        <w:t xml:space="preserve">FOUR. </w:t>
      </w:r>
      <w:r>
        <w:t>IIS La Fe is a non‑profit entity, with its own legal personality and full capacity to fulfill its purposes, whose main objective is to drive, promote and foster excellent biomedical research, scientific and technological knowledge and its subsequent transfer to the productive sector, as well as teaching and training within the Hospital Universitario y Politécnico La Fe of Valencia.</w:t>
      </w:r>
    </w:p>
    <w:p>
      <w:r>
        <w:rPr>
          <w:b/>
          <w:sz w:val="23"/>
        </w:rPr>
        <w:t xml:space="preserve">FIVE. </w:t>
      </w:r>
      <w:r>
        <w:t>The Distributed ICTS ReDIB coordinates and brings together resources existing in its geographically distributed infrastructures of diverse ownership, which together constitute a set of unique and strategic capabilities in Spain in the field of Biomedical Imaging. Declared a Unique Scientific and Technical Infrastructure by the Ministry of Science and Innovation in 2011, the entities subscribing to this agreement are integrated in this network as follows: • BioImaC in Madrid. • Centro Nacional de Investigaciones Cardiovasculares Carlos III in Madrid. • CIC biomaGUNE in San Sebastián. • IIS La Fe in Valencia.</w:t>
      </w:r>
    </w:p>
    <w:p>
      <w:r>
        <w:rPr>
          <w:b/>
          <w:sz w:val="23"/>
        </w:rPr>
        <w:t xml:space="preserve">SIX. </w:t>
      </w:r>
      <w:r>
        <w:t>Among the activities carried out by ReDIB is the management and evaluation of applications submitted by research personnel for the use of the network’s facilities. For the management of this activity, it is sometimes necessary to exchange information among all or several of the aforementioned facilities. This information contains personal data that are collected solely for the management described; information flows are multidirectional and the personal data may be processed by all or some of the facilities.</w:t>
      </w:r>
    </w:p>
    <w:p>
      <w:r>
        <w:rPr>
          <w:b/>
          <w:sz w:val="23"/>
        </w:rPr>
        <w:t xml:space="preserve">SEVEN. </w:t>
      </w:r>
      <w:r>
        <w:t>The data protection framework comprises Regulation (EU) 2016/679 of the European Parliament and of the Council of 27 April 2016 (hereinafter “GDPR”) and Organic Law 3/2018 of 5 December on the Protection of Personal Data and guarantee of digital rights (hereinafter “LOPDGDD”), together with their implementing provisions. Article 26 GDPR—expressly referred to in Article 29 LOPDGDD—regulates the concept of “Joint Controller”. In particular, it provides as follows:</w:t>
        <w:br/>
        <w:br/>
        <w:t>Article 26. Joint controllers</w:t>
        <w:br/>
        <w:br/>
        <w:t>1. Where two or more controllers jointly determine the purposes and means of processing, they shall be joint controllers. The joint controllers shall, in a transparent manner and by mutual arrangement, determine their respective responsibilities for compliance with the obligations under this Regulation, in particular as regards the exercise of the rights of the data subject and their respective duties to provide the information referred to in Articles 13 and 14, unless, and to the extent that, their respective responsibilities are determined by Union or Member State law to which the controllers are subject. The arrangement may designate a contact point for data subjects.</w:t>
        <w:br/>
        <w:br/>
        <w:t>2. The arrangement referred to in paragraph 1 shall duly reflect the respective roles and relationships of the joint controllers vis‑à‑vis the data subjects. The essence of the arrangement shall be made available to the data subject.</w:t>
        <w:br/>
        <w:br/>
        <w:t>3. Irrespective of the terms of the arrangement referred to in paragraph 1, the data subject may exercise his or her rights under this Regulation in respect of and against each of the controllers.</w:t>
      </w:r>
    </w:p>
    <w:p>
      <w:r>
        <w:rPr>
          <w:b/>
          <w:sz w:val="23"/>
        </w:rPr>
        <w:t xml:space="preserve">EIGHT. </w:t>
      </w:r>
      <w:r>
        <w:t>In light of the foregoing, BioImaC, Centro Nacional de Investigaciones Cardiovasculares Carlos III, CIC biomaGUNE, and IIS La Fe enter into this “Joint Controllership Agreement for the Processing of Personal Data”. In all actions where, as a consequence of normal collaborative relations, the processing of personal data must be undertaken, the parties agree to act and relate to one another as provided below:</w:t>
      </w:r>
    </w:p>
    <w:p/>
    <w:p>
      <w:r>
        <w:rPr>
          <w:b/>
          <w:sz w:val="25"/>
        </w:rPr>
        <w:t>CLAUSES</w:t>
      </w:r>
    </w:p>
    <w:p>
      <w:r>
        <w:rPr>
          <w:b/>
          <w:sz w:val="23"/>
        </w:rPr>
        <w:t xml:space="preserve">ONE. </w:t>
      </w:r>
      <w:r>
        <w:t>In each and every collaborative activity jointly carried out by the nodes belonging to ReDIB, in the exercise of their respective competences, each of the entities to which such facilities belong shall be jointly responsible for ensuring compliance with the data protection regulations in force within their respective scopes of action. Each entity shall be individually liable for any infringements that may be committed within this area in its own facilities as well as within its respective scope of action.</w:t>
      </w:r>
    </w:p>
    <w:p>
      <w:r>
        <w:rPr>
          <w:b/>
          <w:sz w:val="23"/>
        </w:rPr>
        <w:t xml:space="preserve">TWO. </w:t>
      </w:r>
      <w:r>
        <w:t>The signatory parties to this agreement shall communicate to one another, exclusively, those personal data necessary to carry out the activities required for the management relating to the receipt and evaluation of applications to use ReDIB facilities. Such communication of personal data shall be carried out by the parties in compliance with Article 5 GDPR and the remainder of the applicable regulations. In particular, strict compliance with the principles of “purpose limitation”, “lawfulness, fairness and transparency”, and “data minimization” shall be ensured.</w:t>
      </w:r>
    </w:p>
    <w:p>
      <w:r>
        <w:rPr>
          <w:b/>
          <w:sz w:val="23"/>
        </w:rPr>
        <w:t xml:space="preserve">THREE. </w:t>
      </w:r>
      <w:r>
        <w:t>The signatory parties to this agreement undertake to update and keep up to date their respective Records of Processing Activities (hereinafter ROPA), the content of which shall in any case conform to Article 30 GDPR. All signatory parties shall create and keep updated a specific processing activity in their respective ROPA referring to the activities carried out jointly. In this new processing activity, express reference shall be made to the fact that the other parties hold the status of “Joint Controller”. In addition, the counterparties shall clearly and distinctly appear as recipients to whom the personal data provided by the data subjects may be communicated. All signatory parties shall coordinate to ensure that this specific processing activity is carried out in a homogeneous manner by each entity, so that the legal basis, the categories of data processed, the purposes of the processing, and the other elements that must be included in the ROPA are, to the extent possible, identical.</w:t>
      </w:r>
    </w:p>
    <w:p>
      <w:r>
        <w:rPr>
          <w:b/>
          <w:sz w:val="23"/>
        </w:rPr>
        <w:t xml:space="preserve">FOUR. </w:t>
      </w:r>
      <w:r>
        <w:t>Each of the signatory parties to this agreement shall process and resolve data subjects’ requests related to the exercise of the rights recognized by the regulations—access, objection, rectification, erasure, restriction of processing, portability, and objection to automated individual decision‑making and profiling. Each organization shall be responsible, in accordance with its respective competences, for acknowledging, processing and resolving the different requests that may be received as a consequence of activities carried out jointly. The signatory parties may exchange information in order to resolve requests to exercise rights as efficiently as possible.</w:t>
      </w:r>
    </w:p>
    <w:p>
      <w:r>
        <w:rPr>
          <w:b/>
          <w:sz w:val="23"/>
        </w:rPr>
        <w:t xml:space="preserve">FIVE. </w:t>
      </w:r>
      <w:r>
        <w:t>To guarantee the principle of transparency in the processing of personal data set out in Article 5 GDPR, the duty to inform data subjects as provided in Articles 13 and 14 GDPR must be fulfilled. The duty to inform shall fall to the entity that collects the personal data directly from the data subject, which from that moment shall hold the status of “Controller”. Where personal data are obtained directly from the data subjects, and at the time they are obtained, at least the following information shall be provided: (a) the identity and contact details of the Controller; (b) the Controller’s data protection officer contact details; (c) the purposes of the processing; (d) the period for which the personal data will be stored; (e) the recipients or categories of recipients of the personal data, expressly stating that the data collected may be communicated to the other parties; (f) the rights available to the data subject in data protection matters; (g) the right to lodge a complaint with a supervisory authority; (h) where processing is based on the data subject’s explicit consent, the existence of the right to withdraw such consent at any time, without affecting the lawfulness of processing based on consent before its withdrawal.</w:t>
      </w:r>
    </w:p>
    <w:p>
      <w:r>
        <w:rPr>
          <w:b/>
          <w:sz w:val="23"/>
        </w:rPr>
        <w:t xml:space="preserve">SIX. </w:t>
      </w:r>
      <w:r>
        <w:t>To ensure that the processing of personal data is lawful, each entity shall, according to its respective competences and internal procedures and in each case, determine which legal basis of those set out in Article 6(1) GDPR legitimizes the processing of personal data. If special category data are processed, Article 9 GDPR shall apply.</w:t>
      </w:r>
    </w:p>
    <w:p>
      <w:r>
        <w:rPr>
          <w:b/>
          <w:sz w:val="23"/>
        </w:rPr>
        <w:t xml:space="preserve">SEVEN. </w:t>
      </w:r>
      <w:r>
        <w:t>Likewise, the organization that collects personal data directly from the data subject has the obligation to obtain the data subject’s free, specific, informed and unambiguous consent where this is the legal basis allowing the processing of personal data. Consent, as provided in Article 7 GDPR, shall be presented in a manner distinguishable from the information on the processing, which must be provided beforehand. Consent may be withdrawn at any time, without such withdrawal affecting the lawfulness of prior processing. Withdrawing consent shall be as easy as giving it and, as far as possible, consent shall not be made conditional upon the provision of a service to the data subject.</w:t>
      </w:r>
    </w:p>
    <w:p>
      <w:r>
        <w:rPr>
          <w:b/>
          <w:sz w:val="23"/>
        </w:rPr>
        <w:t xml:space="preserve">EIGHT. </w:t>
      </w:r>
      <w:r>
        <w:t>In accordance with their respective competences and organizational autonomy, each entity shall assume its respective responsibilities as regards the implementation of technical and organizational measures to ensure the security of personal data processing. In particular, they shall adopt any measures necessary to ensure compliance with the principle of data protection by design and by default, in the terms of Article 25 GDPR.</w:t>
      </w:r>
    </w:p>
    <w:p>
      <w:r>
        <w:rPr>
          <w:b/>
          <w:sz w:val="23"/>
        </w:rPr>
        <w:t xml:space="preserve">NINE. </w:t>
      </w:r>
      <w:r>
        <w:t>In the event of a personal data security breach, the entity becoming aware of it shall be obliged to notify the supervisory authority and, where appropriate, the data subjects, in accordance with Articles 33 and 34 GDPR. Security breaches notified to the supervisory authority must also be notified to the other signatory parties to this agreement. Each signatory entity, as joint controller, shall document any personal data security breach of which it becomes aware.</w:t>
      </w:r>
    </w:p>
    <w:p>
      <w:r>
        <w:rPr>
          <w:b/>
          <w:sz w:val="23"/>
        </w:rPr>
        <w:t xml:space="preserve">TEN. </w:t>
      </w:r>
      <w:r>
        <w:t>This Agreement shall enter into force upon signature by the parties for a period of 12 months from the date of signature, and may be tacitly renewed for successive 12‑month periods from the expiration date if neither Party notifies the other of its desire to terminate the agreement before the expiration date.</w:t>
      </w:r>
    </w:p>
    <w:p>
      <w:r>
        <w:rPr>
          <w:b/>
          <w:sz w:val="23"/>
        </w:rPr>
        <w:t xml:space="preserve">ELEVEN. </w:t>
      </w:r>
      <w:r>
        <w:t>This Agreement shall terminate, in addition to upon expiry of its term and where it is not renewed, for the following causes: (a) by mutual consent of the signatories; (b) if circumstances arise that render the implementation or continuation of the actions described in this Agreement impossible or unnecessary; (c) for breach of the provisions of this Agreement. Breach of the obligations assumed by the parties shall be notified to the party in breach, which shall be afforded a period of 15 calendar days to remedy the breach. If such remedy is not forthcoming, the Agreement shall terminate automatically.</w:t>
      </w:r>
    </w:p>
    <w:p>
      <w:r>
        <w:rPr>
          <w:b/>
          <w:sz w:val="23"/>
        </w:rPr>
        <w:t xml:space="preserve">TWELVE. </w:t>
      </w:r>
      <w:r>
        <w:t>To ensure proper implementation of the provisions of this Agreement, the signatory entities undertake to contact one another, share information, and adopt any measures necessary during the term thereof.</w:t>
      </w:r>
    </w:p>
    <w:p>
      <w:r>
        <w:rPr>
          <w:b/>
          <w:sz w:val="23"/>
        </w:rPr>
        <w:t xml:space="preserve">THIRTEEN. </w:t>
      </w:r>
      <w:r>
        <w:t>For the purposes of implementing this Agreement, to resolve any doubts that may arise in the field of personal data protection, as well as to deal with requests for the exercise of rights recognized for the data subject by the regulations in force: • A common access point shall be established for receipt of requests to exercise rights: gdpr@redib.net. • The ReDIB Coordination Center designated at any given time shall assume responsibility for receiving and forwarding to the appropriate recipient (the Data Protection Officers of each signatory entity) requests to exercise rights (Articles 15 to 22 GDPR). • The respective Data Protection Officers of each signatory entity shall be responsible for processing and resolving the corresponding request, within the time limits established by the regulations in force, once such request has been forwarded to them by the Coordination Center.</w:t>
      </w:r>
    </w:p>
    <w:p/>
    <w:p>
      <w:r>
        <w:t>For BIOIMAGEN COMPLUTENSE (BIOIMAC) – UNIVERSIDAD COMPLUTENSE DE MADRID</w:t>
      </w:r>
    </w:p>
    <w:p>
      <w:r>
        <w:br/>
        <w:br/>
        <w:br/>
      </w:r>
    </w:p>
    <w:p>
      <w:r>
        <w:t>For ASOCIACIÓN CENTRO DE INVESTIGACIÓN COOPERATIVA EN BIOMATERIALES · CIC biomaGUNE</w:t>
      </w:r>
    </w:p>
    <w:p>
      <w:r>
        <w:br/>
        <w:br/>
        <w:br/>
      </w:r>
    </w:p>
    <w:p>
      <w:r>
        <w:t>For CENTRO NACIONAL DE INVESTIGACIONES CARDIOVASCULARES CARLOS III</w:t>
      </w:r>
    </w:p>
    <w:p>
      <w:r>
        <w:br/>
        <w:br/>
        <w:br/>
      </w:r>
    </w:p>
    <w:p>
      <w:r>
        <w:t>For INSTITUTO DE INVESTIGACIÓN SANITARIA – FUNDACIÓN PARA LA INVESTIGACIÓN DEL HOSPITAL UNIVERSITARIO LA FE DE LA COMUNIDAD VALENCIANA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